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E9" w:rsidRDefault="003874E9" w:rsidP="003874E9">
      <w:pPr>
        <w:pStyle w:val="Default"/>
        <w:rPr>
          <w:b/>
          <w:bCs/>
          <w:sz w:val="22"/>
          <w:szCs w:val="22"/>
        </w:rPr>
      </w:pPr>
      <w:r>
        <w:rPr>
          <w:b/>
          <w:bCs/>
          <w:sz w:val="22"/>
          <w:szCs w:val="22"/>
        </w:rPr>
        <w:t xml:space="preserve">NEW PERSISTENT ABSENCE THRESHOLD </w:t>
      </w:r>
    </w:p>
    <w:p w:rsidR="003874E9" w:rsidRDefault="003874E9" w:rsidP="003874E9">
      <w:pPr>
        <w:pStyle w:val="Default"/>
        <w:rPr>
          <w:sz w:val="22"/>
          <w:szCs w:val="22"/>
        </w:rPr>
      </w:pPr>
    </w:p>
    <w:p w:rsidR="003874E9" w:rsidRDefault="003874E9" w:rsidP="003874E9">
      <w:pPr>
        <w:pStyle w:val="Default"/>
        <w:rPr>
          <w:sz w:val="22"/>
          <w:szCs w:val="22"/>
        </w:rPr>
      </w:pPr>
      <w:proofErr w:type="gramStart"/>
      <w:r>
        <w:rPr>
          <w:sz w:val="22"/>
          <w:szCs w:val="22"/>
        </w:rPr>
        <w:t>changes</w:t>
      </w:r>
      <w:proofErr w:type="gramEnd"/>
      <w:r>
        <w:rPr>
          <w:sz w:val="22"/>
          <w:szCs w:val="22"/>
        </w:rPr>
        <w:t xml:space="preserve"> to the persistent absence threshold. </w:t>
      </w:r>
    </w:p>
    <w:p w:rsidR="003874E9" w:rsidRDefault="003874E9" w:rsidP="003874E9">
      <w:pPr>
        <w:pStyle w:val="Default"/>
        <w:rPr>
          <w:sz w:val="22"/>
          <w:szCs w:val="22"/>
        </w:rPr>
      </w:pPr>
    </w:p>
    <w:p w:rsidR="003874E9" w:rsidRDefault="003874E9" w:rsidP="003874E9">
      <w:pPr>
        <w:pStyle w:val="Default"/>
        <w:rPr>
          <w:sz w:val="22"/>
          <w:szCs w:val="22"/>
        </w:rPr>
      </w:pPr>
      <w:r>
        <w:rPr>
          <w:sz w:val="22"/>
          <w:szCs w:val="22"/>
        </w:rPr>
        <w:t>From 1 September 2015, the Government is reducing the threshold from 15% to 10</w:t>
      </w:r>
      <w:r w:rsidR="00314CEE">
        <w:rPr>
          <w:sz w:val="22"/>
          <w:szCs w:val="22"/>
        </w:rPr>
        <w:t xml:space="preserve">%. This will now class a pupil </w:t>
      </w:r>
      <w:r>
        <w:rPr>
          <w:sz w:val="22"/>
          <w:szCs w:val="22"/>
        </w:rPr>
        <w:t xml:space="preserve">with attendance below 90% as a persistent absentee, compared with the previous figure of 85%, regardless of whether the school has authorised or unauthorised the absence. This equates to 38 sessions or 19 days of absence across the year. </w:t>
      </w:r>
      <w:r w:rsidR="00314CEE">
        <w:rPr>
          <w:sz w:val="22"/>
          <w:szCs w:val="22"/>
        </w:rPr>
        <w:t>Below is a table indicating the levels of absence which will equate to your child become a Persistent Absentee.</w:t>
      </w:r>
    </w:p>
    <w:p w:rsidR="00314CEE" w:rsidRDefault="00314CEE" w:rsidP="003874E9">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758"/>
        <w:gridCol w:w="2758"/>
      </w:tblGrid>
      <w:tr w:rsidR="00314CEE" w:rsidTr="00CE38ED">
        <w:trPr>
          <w:trHeight w:val="217"/>
        </w:trPr>
        <w:tc>
          <w:tcPr>
            <w:tcW w:w="2758" w:type="dxa"/>
          </w:tcPr>
          <w:p w:rsidR="00314CEE" w:rsidRPr="00314CEE" w:rsidRDefault="00314CEE" w:rsidP="00CE38ED">
            <w:pPr>
              <w:pStyle w:val="Default"/>
              <w:rPr>
                <w:sz w:val="22"/>
                <w:szCs w:val="22"/>
                <w:u w:val="single"/>
              </w:rPr>
            </w:pPr>
            <w:r w:rsidRPr="00314CEE">
              <w:rPr>
                <w:b/>
                <w:bCs/>
                <w:sz w:val="22"/>
                <w:szCs w:val="22"/>
                <w:u w:val="single"/>
              </w:rPr>
              <w:t xml:space="preserve">Terms </w:t>
            </w:r>
          </w:p>
        </w:tc>
        <w:tc>
          <w:tcPr>
            <w:tcW w:w="2758" w:type="dxa"/>
          </w:tcPr>
          <w:p w:rsidR="00314CEE" w:rsidRPr="00314CEE" w:rsidRDefault="00314CEE" w:rsidP="00CE38ED">
            <w:pPr>
              <w:pStyle w:val="Default"/>
              <w:rPr>
                <w:b/>
                <w:bCs/>
                <w:sz w:val="22"/>
                <w:szCs w:val="22"/>
                <w:u w:val="single"/>
              </w:rPr>
            </w:pPr>
            <w:r w:rsidRPr="00314CEE">
              <w:rPr>
                <w:b/>
                <w:bCs/>
                <w:sz w:val="22"/>
                <w:szCs w:val="22"/>
                <w:u w:val="single"/>
              </w:rPr>
              <w:t xml:space="preserve"> PA at 10%</w:t>
            </w:r>
          </w:p>
          <w:p w:rsidR="00314CEE" w:rsidRPr="00314CEE" w:rsidRDefault="00314CEE" w:rsidP="00CE38ED">
            <w:pPr>
              <w:pStyle w:val="Default"/>
              <w:rPr>
                <w:sz w:val="22"/>
                <w:szCs w:val="22"/>
                <w:u w:val="single"/>
              </w:rPr>
            </w:pPr>
            <w:r w:rsidRPr="00314CEE">
              <w:rPr>
                <w:b/>
                <w:bCs/>
                <w:sz w:val="22"/>
                <w:szCs w:val="22"/>
                <w:u w:val="single"/>
              </w:rPr>
              <w:t xml:space="preserve"> September    2015 </w:t>
            </w:r>
          </w:p>
          <w:p w:rsidR="00314CEE" w:rsidRPr="00314CEE" w:rsidRDefault="00314CEE" w:rsidP="00CE38ED">
            <w:pPr>
              <w:pStyle w:val="Default"/>
              <w:rPr>
                <w:b/>
                <w:bCs/>
                <w:sz w:val="22"/>
                <w:szCs w:val="22"/>
                <w:u w:val="single"/>
              </w:rPr>
            </w:pPr>
            <w:r w:rsidRPr="00314CEE">
              <w:rPr>
                <w:b/>
                <w:bCs/>
                <w:sz w:val="22"/>
                <w:szCs w:val="22"/>
                <w:u w:val="single"/>
              </w:rPr>
              <w:t xml:space="preserve">(&lt;90% attendance) </w:t>
            </w:r>
          </w:p>
          <w:p w:rsidR="00314CEE" w:rsidRPr="00314CEE" w:rsidRDefault="00314CEE" w:rsidP="00CE38ED">
            <w:pPr>
              <w:pStyle w:val="Default"/>
              <w:rPr>
                <w:sz w:val="22"/>
                <w:szCs w:val="22"/>
                <w:u w:val="single"/>
              </w:rPr>
            </w:pPr>
          </w:p>
        </w:tc>
      </w:tr>
      <w:tr w:rsidR="00314CEE" w:rsidTr="00CE38ED">
        <w:trPr>
          <w:trHeight w:val="152"/>
        </w:trPr>
        <w:tc>
          <w:tcPr>
            <w:tcW w:w="2758" w:type="dxa"/>
          </w:tcPr>
          <w:p w:rsidR="00314CEE" w:rsidRPr="00314CEE" w:rsidRDefault="00314CEE" w:rsidP="00CE38ED">
            <w:pPr>
              <w:pStyle w:val="Default"/>
              <w:rPr>
                <w:sz w:val="22"/>
                <w:szCs w:val="22"/>
              </w:rPr>
            </w:pPr>
            <w:r w:rsidRPr="00314CEE">
              <w:rPr>
                <w:sz w:val="22"/>
                <w:szCs w:val="22"/>
              </w:rPr>
              <w:t xml:space="preserve">Half term 1 </w:t>
            </w:r>
          </w:p>
          <w:p w:rsidR="00314CEE" w:rsidRPr="00314CEE" w:rsidRDefault="00314CEE" w:rsidP="00CE38ED">
            <w:pPr>
              <w:pStyle w:val="Default"/>
              <w:rPr>
                <w:sz w:val="22"/>
                <w:szCs w:val="22"/>
              </w:rPr>
            </w:pPr>
          </w:p>
        </w:tc>
        <w:tc>
          <w:tcPr>
            <w:tcW w:w="2758" w:type="dxa"/>
          </w:tcPr>
          <w:p w:rsidR="00314CEE" w:rsidRPr="00314CEE" w:rsidRDefault="00314CEE" w:rsidP="00CE38ED">
            <w:pPr>
              <w:pStyle w:val="Default"/>
              <w:rPr>
                <w:sz w:val="22"/>
                <w:szCs w:val="22"/>
              </w:rPr>
            </w:pPr>
            <w:r w:rsidRPr="00314CEE">
              <w:rPr>
                <w:sz w:val="22"/>
                <w:szCs w:val="22"/>
              </w:rPr>
              <w:t xml:space="preserve">7+ sessions (3.5 days) </w:t>
            </w:r>
          </w:p>
        </w:tc>
      </w:tr>
      <w:tr w:rsidR="00314CEE" w:rsidTr="00CE38ED">
        <w:trPr>
          <w:trHeight w:val="217"/>
        </w:trPr>
        <w:tc>
          <w:tcPr>
            <w:tcW w:w="2758" w:type="dxa"/>
          </w:tcPr>
          <w:p w:rsidR="00314CEE" w:rsidRPr="00314CEE" w:rsidRDefault="00314CEE" w:rsidP="00CE38ED">
            <w:pPr>
              <w:pStyle w:val="Default"/>
              <w:rPr>
                <w:sz w:val="22"/>
                <w:szCs w:val="22"/>
              </w:rPr>
            </w:pPr>
            <w:r w:rsidRPr="00314CEE">
              <w:rPr>
                <w:sz w:val="22"/>
                <w:szCs w:val="22"/>
              </w:rPr>
              <w:t xml:space="preserve">Half term 1 &amp; 2 </w:t>
            </w:r>
          </w:p>
          <w:p w:rsidR="00314CEE" w:rsidRPr="00314CEE" w:rsidRDefault="00314CEE" w:rsidP="00CE38ED">
            <w:pPr>
              <w:pStyle w:val="Default"/>
              <w:rPr>
                <w:sz w:val="22"/>
                <w:szCs w:val="22"/>
              </w:rPr>
            </w:pPr>
            <w:r w:rsidRPr="00314CEE">
              <w:rPr>
                <w:sz w:val="22"/>
                <w:szCs w:val="22"/>
              </w:rPr>
              <w:t xml:space="preserve">(Autumn term) </w:t>
            </w:r>
          </w:p>
          <w:p w:rsidR="00314CEE" w:rsidRPr="00314CEE" w:rsidRDefault="00314CEE" w:rsidP="00CE38ED">
            <w:pPr>
              <w:pStyle w:val="Default"/>
              <w:rPr>
                <w:sz w:val="22"/>
                <w:szCs w:val="22"/>
              </w:rPr>
            </w:pPr>
          </w:p>
        </w:tc>
        <w:tc>
          <w:tcPr>
            <w:tcW w:w="2758" w:type="dxa"/>
          </w:tcPr>
          <w:p w:rsidR="00314CEE" w:rsidRPr="00314CEE" w:rsidRDefault="00314CEE" w:rsidP="00CE38ED">
            <w:pPr>
              <w:pStyle w:val="Default"/>
              <w:rPr>
                <w:sz w:val="22"/>
                <w:szCs w:val="22"/>
              </w:rPr>
            </w:pPr>
            <w:r w:rsidRPr="00314CEE">
              <w:rPr>
                <w:sz w:val="22"/>
                <w:szCs w:val="22"/>
              </w:rPr>
              <w:t xml:space="preserve">14+ sessions (7 days) </w:t>
            </w:r>
          </w:p>
        </w:tc>
      </w:tr>
      <w:tr w:rsidR="00314CEE" w:rsidTr="00CE38ED">
        <w:trPr>
          <w:trHeight w:val="153"/>
        </w:trPr>
        <w:tc>
          <w:tcPr>
            <w:tcW w:w="2758" w:type="dxa"/>
          </w:tcPr>
          <w:p w:rsidR="00314CEE" w:rsidRPr="00314CEE" w:rsidRDefault="00314CEE" w:rsidP="00CE38ED">
            <w:pPr>
              <w:pStyle w:val="Default"/>
              <w:rPr>
                <w:sz w:val="22"/>
                <w:szCs w:val="22"/>
              </w:rPr>
            </w:pPr>
            <w:r w:rsidRPr="00314CEE">
              <w:rPr>
                <w:sz w:val="22"/>
                <w:szCs w:val="22"/>
              </w:rPr>
              <w:t xml:space="preserve">Half term 1-3 </w:t>
            </w:r>
          </w:p>
          <w:p w:rsidR="00314CEE" w:rsidRPr="00314CEE" w:rsidRDefault="00314CEE" w:rsidP="00CE38ED">
            <w:pPr>
              <w:pStyle w:val="Default"/>
              <w:rPr>
                <w:sz w:val="22"/>
                <w:szCs w:val="22"/>
              </w:rPr>
            </w:pPr>
          </w:p>
        </w:tc>
        <w:tc>
          <w:tcPr>
            <w:tcW w:w="2758" w:type="dxa"/>
          </w:tcPr>
          <w:p w:rsidR="00314CEE" w:rsidRPr="00314CEE" w:rsidRDefault="00314CEE" w:rsidP="00CE38ED">
            <w:pPr>
              <w:pStyle w:val="Default"/>
              <w:rPr>
                <w:sz w:val="22"/>
                <w:szCs w:val="22"/>
              </w:rPr>
            </w:pPr>
            <w:r w:rsidRPr="00314CEE">
              <w:rPr>
                <w:sz w:val="22"/>
                <w:szCs w:val="22"/>
              </w:rPr>
              <w:t xml:space="preserve">20+ sessions (10 days) </w:t>
            </w:r>
          </w:p>
        </w:tc>
      </w:tr>
      <w:tr w:rsidR="00314CEE" w:rsidTr="00CE38ED">
        <w:trPr>
          <w:trHeight w:val="216"/>
        </w:trPr>
        <w:tc>
          <w:tcPr>
            <w:tcW w:w="2758" w:type="dxa"/>
          </w:tcPr>
          <w:p w:rsidR="00314CEE" w:rsidRPr="00314CEE" w:rsidRDefault="00314CEE" w:rsidP="00CE38ED">
            <w:pPr>
              <w:pStyle w:val="Default"/>
              <w:rPr>
                <w:sz w:val="22"/>
                <w:szCs w:val="22"/>
              </w:rPr>
            </w:pPr>
            <w:r w:rsidRPr="00314CEE">
              <w:rPr>
                <w:sz w:val="22"/>
                <w:szCs w:val="22"/>
              </w:rPr>
              <w:t xml:space="preserve">Half term 1-4 </w:t>
            </w:r>
          </w:p>
          <w:p w:rsidR="00314CEE" w:rsidRPr="00314CEE" w:rsidRDefault="00314CEE" w:rsidP="00CE38ED">
            <w:pPr>
              <w:pStyle w:val="Default"/>
              <w:rPr>
                <w:sz w:val="22"/>
                <w:szCs w:val="22"/>
              </w:rPr>
            </w:pPr>
            <w:r w:rsidRPr="00314CEE">
              <w:rPr>
                <w:sz w:val="22"/>
                <w:szCs w:val="22"/>
              </w:rPr>
              <w:t xml:space="preserve">(Autumn and Spring term) </w:t>
            </w:r>
          </w:p>
          <w:p w:rsidR="00314CEE" w:rsidRPr="00314CEE" w:rsidRDefault="00314CEE" w:rsidP="00CE38ED">
            <w:pPr>
              <w:pStyle w:val="Default"/>
              <w:rPr>
                <w:sz w:val="22"/>
                <w:szCs w:val="22"/>
              </w:rPr>
            </w:pPr>
          </w:p>
        </w:tc>
        <w:tc>
          <w:tcPr>
            <w:tcW w:w="2758" w:type="dxa"/>
          </w:tcPr>
          <w:p w:rsidR="00314CEE" w:rsidRPr="00314CEE" w:rsidRDefault="00314CEE" w:rsidP="00CE38ED">
            <w:pPr>
              <w:pStyle w:val="Default"/>
              <w:rPr>
                <w:sz w:val="22"/>
                <w:szCs w:val="22"/>
              </w:rPr>
            </w:pPr>
            <w:r w:rsidRPr="00314CEE">
              <w:rPr>
                <w:sz w:val="22"/>
                <w:szCs w:val="22"/>
              </w:rPr>
              <w:t xml:space="preserve">25+ sessions 12.5 days) </w:t>
            </w:r>
          </w:p>
        </w:tc>
      </w:tr>
      <w:tr w:rsidR="00314CEE" w:rsidTr="00CE38ED">
        <w:trPr>
          <w:trHeight w:val="153"/>
        </w:trPr>
        <w:tc>
          <w:tcPr>
            <w:tcW w:w="2758" w:type="dxa"/>
          </w:tcPr>
          <w:p w:rsidR="00314CEE" w:rsidRPr="00314CEE" w:rsidRDefault="00314CEE" w:rsidP="00CE38ED">
            <w:pPr>
              <w:pStyle w:val="Default"/>
              <w:rPr>
                <w:sz w:val="22"/>
                <w:szCs w:val="22"/>
              </w:rPr>
            </w:pPr>
            <w:r w:rsidRPr="00314CEE">
              <w:rPr>
                <w:sz w:val="22"/>
                <w:szCs w:val="22"/>
              </w:rPr>
              <w:t xml:space="preserve">Half term 1-5 </w:t>
            </w:r>
          </w:p>
          <w:p w:rsidR="00314CEE" w:rsidRPr="00314CEE" w:rsidRDefault="00314CEE" w:rsidP="00CE38ED">
            <w:pPr>
              <w:pStyle w:val="Default"/>
              <w:rPr>
                <w:sz w:val="22"/>
                <w:szCs w:val="22"/>
              </w:rPr>
            </w:pPr>
          </w:p>
        </w:tc>
        <w:tc>
          <w:tcPr>
            <w:tcW w:w="2758" w:type="dxa"/>
          </w:tcPr>
          <w:p w:rsidR="00314CEE" w:rsidRPr="00314CEE" w:rsidRDefault="00314CEE" w:rsidP="00CE38ED">
            <w:pPr>
              <w:pStyle w:val="Default"/>
              <w:rPr>
                <w:sz w:val="22"/>
                <w:szCs w:val="22"/>
              </w:rPr>
            </w:pPr>
            <w:r w:rsidRPr="00314CEE">
              <w:rPr>
                <w:sz w:val="22"/>
                <w:szCs w:val="22"/>
              </w:rPr>
              <w:t xml:space="preserve">31+ sessions (15.5 days) </w:t>
            </w:r>
          </w:p>
        </w:tc>
      </w:tr>
      <w:tr w:rsidR="00314CEE" w:rsidTr="00CE38ED">
        <w:trPr>
          <w:trHeight w:val="216"/>
        </w:trPr>
        <w:tc>
          <w:tcPr>
            <w:tcW w:w="2758" w:type="dxa"/>
          </w:tcPr>
          <w:p w:rsidR="00314CEE" w:rsidRPr="00314CEE" w:rsidRDefault="00314CEE" w:rsidP="00CE38ED">
            <w:pPr>
              <w:pStyle w:val="Default"/>
              <w:rPr>
                <w:sz w:val="22"/>
                <w:szCs w:val="22"/>
              </w:rPr>
            </w:pPr>
            <w:r w:rsidRPr="00314CEE">
              <w:rPr>
                <w:sz w:val="22"/>
                <w:szCs w:val="22"/>
              </w:rPr>
              <w:t xml:space="preserve">Half term 1-6 </w:t>
            </w:r>
          </w:p>
          <w:p w:rsidR="00314CEE" w:rsidRPr="00314CEE" w:rsidRDefault="00314CEE" w:rsidP="00CE38ED">
            <w:pPr>
              <w:pStyle w:val="Default"/>
              <w:rPr>
                <w:sz w:val="22"/>
                <w:szCs w:val="22"/>
              </w:rPr>
            </w:pPr>
            <w:r w:rsidRPr="00314CEE">
              <w:rPr>
                <w:sz w:val="22"/>
                <w:szCs w:val="22"/>
              </w:rPr>
              <w:t xml:space="preserve">(full academic year) </w:t>
            </w:r>
          </w:p>
        </w:tc>
        <w:tc>
          <w:tcPr>
            <w:tcW w:w="2758" w:type="dxa"/>
          </w:tcPr>
          <w:p w:rsidR="00314CEE" w:rsidRPr="00314CEE" w:rsidRDefault="00314CEE" w:rsidP="00CE38ED">
            <w:pPr>
              <w:pStyle w:val="Default"/>
              <w:rPr>
                <w:sz w:val="22"/>
                <w:szCs w:val="22"/>
              </w:rPr>
            </w:pPr>
            <w:r w:rsidRPr="00314CEE">
              <w:rPr>
                <w:sz w:val="22"/>
                <w:szCs w:val="22"/>
              </w:rPr>
              <w:t xml:space="preserve">38+ sessions (19 days) </w:t>
            </w:r>
          </w:p>
        </w:tc>
      </w:tr>
    </w:tbl>
    <w:p w:rsidR="003874E9" w:rsidRDefault="003874E9" w:rsidP="003874E9">
      <w:pPr>
        <w:pStyle w:val="Default"/>
        <w:rPr>
          <w:sz w:val="22"/>
          <w:szCs w:val="22"/>
        </w:rPr>
      </w:pPr>
    </w:p>
    <w:p w:rsidR="003874E9" w:rsidRDefault="003874E9" w:rsidP="003874E9">
      <w:pPr>
        <w:pStyle w:val="Default"/>
        <w:rPr>
          <w:sz w:val="22"/>
          <w:szCs w:val="22"/>
        </w:rPr>
      </w:pPr>
      <w:r>
        <w:rPr>
          <w:sz w:val="22"/>
          <w:szCs w:val="22"/>
        </w:rPr>
        <w:t xml:space="preserve">Schools are no longer judged solely on their overall attendance figures but also on the number of students who fall into the persistent absence category. </w:t>
      </w:r>
    </w:p>
    <w:p w:rsidR="003874E9" w:rsidRDefault="003874E9" w:rsidP="003874E9">
      <w:pPr>
        <w:pStyle w:val="Default"/>
        <w:rPr>
          <w:sz w:val="22"/>
          <w:szCs w:val="22"/>
        </w:rPr>
      </w:pPr>
    </w:p>
    <w:p w:rsidR="003874E9" w:rsidRDefault="003874E9" w:rsidP="003874E9">
      <w:pPr>
        <w:pStyle w:val="Default"/>
        <w:rPr>
          <w:sz w:val="22"/>
          <w:szCs w:val="22"/>
        </w:rPr>
      </w:pPr>
      <w:r>
        <w:rPr>
          <w:sz w:val="22"/>
          <w:szCs w:val="22"/>
        </w:rPr>
        <w:t xml:space="preserve">Regular attendance at school is essential to ensure uninterrupted progress and to enable children to fulfil their potential. The attendance pattern for all children is monitored regularly with the school seeking to work actively with parents to ensure that regular attendance is maintained. </w:t>
      </w:r>
    </w:p>
    <w:p w:rsidR="003874E9" w:rsidRDefault="003874E9" w:rsidP="003874E9">
      <w:pPr>
        <w:pStyle w:val="Default"/>
        <w:rPr>
          <w:sz w:val="22"/>
          <w:szCs w:val="22"/>
        </w:rPr>
      </w:pPr>
    </w:p>
    <w:p w:rsidR="003874E9" w:rsidRDefault="003874E9" w:rsidP="003874E9">
      <w:pPr>
        <w:pStyle w:val="Default"/>
        <w:rPr>
          <w:sz w:val="22"/>
          <w:szCs w:val="22"/>
        </w:rPr>
      </w:pPr>
      <w:r>
        <w:rPr>
          <w:sz w:val="22"/>
          <w:szCs w:val="22"/>
        </w:rPr>
        <w:t xml:space="preserve">The Department for Education has published data on their website that clearly shows the link between attendance and attainment. This highlights the fact that there will be an impact on your child’s education and exam results if their attendance is not consistently above 95% throughout their schooling. </w:t>
      </w:r>
    </w:p>
    <w:p w:rsidR="003874E9" w:rsidRDefault="003874E9" w:rsidP="003874E9">
      <w:pPr>
        <w:pStyle w:val="Default"/>
        <w:rPr>
          <w:sz w:val="22"/>
          <w:szCs w:val="22"/>
        </w:rPr>
      </w:pPr>
    </w:p>
    <w:p w:rsidR="003874E9" w:rsidRDefault="003874E9" w:rsidP="003874E9">
      <w:pPr>
        <w:pStyle w:val="Default"/>
        <w:rPr>
          <w:sz w:val="22"/>
          <w:szCs w:val="22"/>
        </w:rPr>
      </w:pPr>
      <w:r>
        <w:rPr>
          <w:sz w:val="22"/>
          <w:szCs w:val="22"/>
        </w:rPr>
        <w:t xml:space="preserve">Minor ailments, such as a headache or slight cold, are not acceptable reasons for failing to attend school. Repeated absences may require the school to request that you obtain medical evidence from your doctor’s surgery or local pharmacy as recommended by the Government. </w:t>
      </w:r>
    </w:p>
    <w:p w:rsidR="003874E9" w:rsidRDefault="003874E9" w:rsidP="003874E9">
      <w:pPr>
        <w:pStyle w:val="Default"/>
        <w:rPr>
          <w:sz w:val="22"/>
          <w:szCs w:val="22"/>
        </w:rPr>
      </w:pPr>
    </w:p>
    <w:p w:rsidR="003874E9" w:rsidRDefault="003874E9" w:rsidP="003874E9">
      <w:pPr>
        <w:pStyle w:val="Default"/>
        <w:rPr>
          <w:sz w:val="22"/>
          <w:szCs w:val="22"/>
        </w:rPr>
      </w:pPr>
      <w:r>
        <w:rPr>
          <w:sz w:val="22"/>
          <w:szCs w:val="22"/>
        </w:rPr>
        <w:t>I would like to remind you that the current law does not give any entitlement to parents to remove their child from school during term-time for the purpose of a holiday. Head teachers may only grant leave of absence where an applicatio</w:t>
      </w:r>
      <w:r w:rsidR="00314CEE">
        <w:rPr>
          <w:sz w:val="22"/>
          <w:szCs w:val="22"/>
        </w:rPr>
        <w:t xml:space="preserve">n has been made in advance and </w:t>
      </w:r>
      <w:r>
        <w:rPr>
          <w:sz w:val="22"/>
          <w:szCs w:val="22"/>
        </w:rPr>
        <w:t xml:space="preserve">consider that there are exceptional circumstances relating to the application. </w:t>
      </w:r>
    </w:p>
    <w:p w:rsidR="003874E9" w:rsidRDefault="003874E9" w:rsidP="003874E9">
      <w:pPr>
        <w:pStyle w:val="Default"/>
        <w:rPr>
          <w:sz w:val="22"/>
          <w:szCs w:val="22"/>
        </w:rPr>
      </w:pPr>
    </w:p>
    <w:p w:rsidR="003874E9" w:rsidRDefault="003874E9" w:rsidP="003874E9">
      <w:pPr>
        <w:pStyle w:val="Default"/>
        <w:rPr>
          <w:sz w:val="22"/>
          <w:szCs w:val="22"/>
        </w:rPr>
      </w:pPr>
      <w:r>
        <w:rPr>
          <w:sz w:val="22"/>
          <w:szCs w:val="22"/>
        </w:rPr>
        <w:t xml:space="preserve">For those children whose attendance is below 90%, we will be monitoring their attendance patterns and we will notify you if your child falls into this category. We are confident that you will be keen to work with us to ensure that your child meets the new threshold requirements since it is clear that this will have a positive effect on their learning. </w:t>
      </w:r>
    </w:p>
    <w:p w:rsidR="003874E9" w:rsidRDefault="003874E9" w:rsidP="003874E9">
      <w:pPr>
        <w:pStyle w:val="Default"/>
        <w:rPr>
          <w:sz w:val="22"/>
          <w:szCs w:val="22"/>
        </w:rPr>
      </w:pPr>
    </w:p>
    <w:p w:rsidR="003874E9" w:rsidRDefault="003874E9" w:rsidP="003874E9">
      <w:bookmarkStart w:id="0" w:name="_GoBack"/>
      <w:bookmarkEnd w:id="0"/>
    </w:p>
    <w:sectPr w:rsidR="00387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E9"/>
    <w:rsid w:val="00237713"/>
    <w:rsid w:val="00314CEE"/>
    <w:rsid w:val="003874E9"/>
    <w:rsid w:val="0078081F"/>
    <w:rsid w:val="00D5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4E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4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dc:creator>
  <cp:lastModifiedBy>Green, Lesley - Newport Jun (A)</cp:lastModifiedBy>
  <cp:revision>2</cp:revision>
  <dcterms:created xsi:type="dcterms:W3CDTF">2015-12-03T09:32:00Z</dcterms:created>
  <dcterms:modified xsi:type="dcterms:W3CDTF">2015-12-03T09:32:00Z</dcterms:modified>
</cp:coreProperties>
</file>