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22EE" w14:textId="77777777" w:rsidR="002C1C5B" w:rsidRDefault="00492D71">
      <w:pPr>
        <w:spacing w:after="139" w:line="259" w:lineRule="auto"/>
        <w:ind w:left="0" w:firstLine="0"/>
      </w:pPr>
      <w:r>
        <w:rPr>
          <w:color w:val="E36C0A"/>
          <w:sz w:val="56"/>
        </w:rPr>
        <w:t xml:space="preserve"> </w:t>
      </w:r>
    </w:p>
    <w:p w14:paraId="0AC50C16" w14:textId="77777777" w:rsidR="002C1C5B" w:rsidRDefault="00492D71">
      <w:pPr>
        <w:spacing w:after="0" w:line="259" w:lineRule="auto"/>
        <w:ind w:left="0" w:firstLine="0"/>
      </w:pPr>
      <w:r>
        <w:rPr>
          <w:noProof/>
        </w:rPr>
        <w:drawing>
          <wp:inline distT="0" distB="0" distL="0" distR="0" wp14:anchorId="580F0A16" wp14:editId="5402D11F">
            <wp:extent cx="1123950" cy="125920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5"/>
                    <a:stretch>
                      <a:fillRect/>
                    </a:stretch>
                  </pic:blipFill>
                  <pic:spPr>
                    <a:xfrm>
                      <a:off x="0" y="0"/>
                      <a:ext cx="1123950" cy="1259205"/>
                    </a:xfrm>
                    <a:prstGeom prst="rect">
                      <a:avLst/>
                    </a:prstGeom>
                  </pic:spPr>
                </pic:pic>
              </a:graphicData>
            </a:graphic>
          </wp:inline>
        </w:drawing>
      </w:r>
      <w:r>
        <w:rPr>
          <w:color w:val="76923C"/>
          <w:sz w:val="56"/>
        </w:rPr>
        <w:t xml:space="preserve"> Newport CE Junior School</w:t>
      </w:r>
      <w:r>
        <w:rPr>
          <w:sz w:val="22"/>
        </w:rPr>
        <w:t xml:space="preserve"> </w:t>
      </w:r>
    </w:p>
    <w:p w14:paraId="446D52C7" w14:textId="77777777" w:rsidR="002C1C5B" w:rsidRDefault="00492D71">
      <w:pPr>
        <w:spacing w:after="216" w:line="259" w:lineRule="auto"/>
        <w:ind w:left="0" w:firstLine="0"/>
      </w:pPr>
      <w:r>
        <w:rPr>
          <w:sz w:val="22"/>
        </w:rPr>
        <w:t xml:space="preserve"> </w:t>
      </w:r>
    </w:p>
    <w:p w14:paraId="310D6B45" w14:textId="77777777" w:rsidR="002C1C5B" w:rsidRDefault="00492D71">
      <w:pPr>
        <w:spacing w:after="216" w:line="259" w:lineRule="auto"/>
        <w:ind w:left="0" w:firstLine="0"/>
      </w:pPr>
      <w:r>
        <w:rPr>
          <w:sz w:val="22"/>
        </w:rPr>
        <w:t xml:space="preserve"> </w:t>
      </w:r>
    </w:p>
    <w:p w14:paraId="6AD8FAC6" w14:textId="77777777" w:rsidR="002C1C5B" w:rsidRDefault="00492D71">
      <w:pPr>
        <w:spacing w:after="214" w:line="259" w:lineRule="auto"/>
        <w:ind w:left="0" w:firstLine="0"/>
      </w:pPr>
      <w:r>
        <w:rPr>
          <w:sz w:val="22"/>
        </w:rPr>
        <w:t xml:space="preserve"> </w:t>
      </w:r>
    </w:p>
    <w:p w14:paraId="21196D6D" w14:textId="77777777" w:rsidR="002C1C5B" w:rsidRDefault="00492D71">
      <w:pPr>
        <w:spacing w:after="475" w:line="259" w:lineRule="auto"/>
        <w:ind w:left="0" w:firstLine="0"/>
        <w:jc w:val="both"/>
      </w:pPr>
      <w:r>
        <w:rPr>
          <w:sz w:val="22"/>
        </w:rPr>
        <w:t xml:space="preserve"> </w:t>
      </w:r>
      <w:r>
        <w:rPr>
          <w:rFonts w:ascii="Calibri" w:eastAsia="Calibri" w:hAnsi="Calibri" w:cs="Calibri"/>
          <w:noProof/>
          <w:sz w:val="22"/>
        </w:rPr>
        <mc:AlternateContent>
          <mc:Choice Requires="wpg">
            <w:drawing>
              <wp:inline distT="0" distB="0" distL="0" distR="0" wp14:anchorId="0B1D7805" wp14:editId="0491FE8F">
                <wp:extent cx="5594350" cy="25400"/>
                <wp:effectExtent l="0" t="0" r="0" b="0"/>
                <wp:docPr id="1650" name="Group 1650"/>
                <wp:cNvGraphicFramePr/>
                <a:graphic xmlns:a="http://schemas.openxmlformats.org/drawingml/2006/main">
                  <a:graphicData uri="http://schemas.microsoft.com/office/word/2010/wordprocessingGroup">
                    <wpg:wgp>
                      <wpg:cNvGrpSpPr/>
                      <wpg:grpSpPr>
                        <a:xfrm>
                          <a:off x="0" y="0"/>
                          <a:ext cx="5594350" cy="25400"/>
                          <a:chOff x="0" y="0"/>
                          <a:chExt cx="5594350" cy="25400"/>
                        </a:xfrm>
                      </wpg:grpSpPr>
                      <wps:wsp>
                        <wps:cNvPr id="78" name="Shape 78"/>
                        <wps:cNvSpPr/>
                        <wps:spPr>
                          <a:xfrm>
                            <a:off x="0" y="0"/>
                            <a:ext cx="5594350" cy="25400"/>
                          </a:xfrm>
                          <a:custGeom>
                            <a:avLst/>
                            <a:gdLst/>
                            <a:ahLst/>
                            <a:cxnLst/>
                            <a:rect l="0" t="0" r="0" b="0"/>
                            <a:pathLst>
                              <a:path w="5594350" h="25400">
                                <a:moveTo>
                                  <a:pt x="0" y="0"/>
                                </a:moveTo>
                                <a:lnTo>
                                  <a:pt x="5594350" y="25400"/>
                                </a:lnTo>
                              </a:path>
                            </a:pathLst>
                          </a:custGeom>
                          <a:ln w="9525" cap="flat">
                            <a:round/>
                          </a:ln>
                        </wps:spPr>
                        <wps:style>
                          <a:lnRef idx="1">
                            <a:srgbClr val="77933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50" style="width:440.5pt;height:2pt;mso-position-horizontal-relative:char;mso-position-vertical-relative:line" coordsize="55943,254">
                <v:shape id="Shape 78" style="position:absolute;width:55943;height:254;left:0;top:0;" coordsize="5594350,25400" path="m0,0l5594350,25400">
                  <v:stroke weight="0.75pt" endcap="flat" joinstyle="round" on="true" color="#77933c"/>
                  <v:fill on="false" color="#000000" opacity="0"/>
                </v:shape>
              </v:group>
            </w:pict>
          </mc:Fallback>
        </mc:AlternateContent>
      </w:r>
      <w:r>
        <w:rPr>
          <w:sz w:val="22"/>
        </w:rPr>
        <w:t xml:space="preserve"> </w:t>
      </w:r>
    </w:p>
    <w:p w14:paraId="6787ACDC" w14:textId="77777777" w:rsidR="002C1C5B" w:rsidRDefault="00492D71">
      <w:pPr>
        <w:spacing w:after="236" w:line="259" w:lineRule="auto"/>
        <w:ind w:left="78" w:firstLine="0"/>
        <w:jc w:val="center"/>
      </w:pPr>
      <w:r>
        <w:rPr>
          <w:sz w:val="48"/>
        </w:rPr>
        <w:t xml:space="preserve"> </w:t>
      </w:r>
    </w:p>
    <w:p w14:paraId="5AFF71F3" w14:textId="77777777" w:rsidR="002C1C5B" w:rsidRDefault="00492D71">
      <w:pPr>
        <w:spacing w:after="236" w:line="259" w:lineRule="auto"/>
        <w:ind w:left="0" w:right="68" w:firstLine="0"/>
        <w:jc w:val="center"/>
      </w:pPr>
      <w:r>
        <w:rPr>
          <w:sz w:val="48"/>
        </w:rPr>
        <w:t xml:space="preserve">Admissions Policy </w:t>
      </w:r>
    </w:p>
    <w:p w14:paraId="14C3650D" w14:textId="77777777" w:rsidR="002C1C5B" w:rsidRDefault="00492D71">
      <w:pPr>
        <w:spacing w:after="0" w:line="259" w:lineRule="auto"/>
        <w:ind w:left="78" w:firstLine="0"/>
        <w:jc w:val="center"/>
      </w:pPr>
      <w:r>
        <w:rPr>
          <w:sz w:val="48"/>
        </w:rPr>
        <w:t xml:space="preserve"> </w:t>
      </w:r>
    </w:p>
    <w:p w14:paraId="27085B2C" w14:textId="77777777" w:rsidR="002C1C5B" w:rsidRDefault="00492D71">
      <w:pPr>
        <w:spacing w:after="251" w:line="259" w:lineRule="auto"/>
        <w:ind w:left="170" w:firstLine="0"/>
      </w:pPr>
      <w:r>
        <w:rPr>
          <w:rFonts w:ascii="Calibri" w:eastAsia="Calibri" w:hAnsi="Calibri" w:cs="Calibri"/>
          <w:noProof/>
          <w:sz w:val="22"/>
        </w:rPr>
        <mc:AlternateContent>
          <mc:Choice Requires="wpg">
            <w:drawing>
              <wp:inline distT="0" distB="0" distL="0" distR="0" wp14:anchorId="6FDF63E7" wp14:editId="68087858">
                <wp:extent cx="5473700" cy="12700"/>
                <wp:effectExtent l="0" t="0" r="0" b="0"/>
                <wp:docPr id="1651" name="Group 1651"/>
                <wp:cNvGraphicFramePr/>
                <a:graphic xmlns:a="http://schemas.openxmlformats.org/drawingml/2006/main">
                  <a:graphicData uri="http://schemas.microsoft.com/office/word/2010/wordprocessingGroup">
                    <wpg:wgp>
                      <wpg:cNvGrpSpPr/>
                      <wpg:grpSpPr>
                        <a:xfrm>
                          <a:off x="0" y="0"/>
                          <a:ext cx="5473700" cy="12700"/>
                          <a:chOff x="0" y="0"/>
                          <a:chExt cx="5473700" cy="12700"/>
                        </a:xfrm>
                      </wpg:grpSpPr>
                      <wps:wsp>
                        <wps:cNvPr id="79" name="Shape 79"/>
                        <wps:cNvSpPr/>
                        <wps:spPr>
                          <a:xfrm>
                            <a:off x="0" y="0"/>
                            <a:ext cx="5473700" cy="12700"/>
                          </a:xfrm>
                          <a:custGeom>
                            <a:avLst/>
                            <a:gdLst/>
                            <a:ahLst/>
                            <a:cxnLst/>
                            <a:rect l="0" t="0" r="0" b="0"/>
                            <a:pathLst>
                              <a:path w="5473700" h="12700">
                                <a:moveTo>
                                  <a:pt x="0" y="12700"/>
                                </a:moveTo>
                                <a:lnTo>
                                  <a:pt x="5473700" y="0"/>
                                </a:lnTo>
                              </a:path>
                            </a:pathLst>
                          </a:custGeom>
                          <a:ln w="9525" cap="flat">
                            <a:round/>
                          </a:ln>
                        </wps:spPr>
                        <wps:style>
                          <a:lnRef idx="1">
                            <a:srgbClr val="77933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51" style="width:431pt;height:1pt;mso-position-horizontal-relative:char;mso-position-vertical-relative:line" coordsize="54737,127">
                <v:shape id="Shape 79" style="position:absolute;width:54737;height:127;left:0;top:0;" coordsize="5473700,12700" path="m0,12700l5473700,0">
                  <v:stroke weight="0.75pt" endcap="flat" joinstyle="round" on="true" color="#77933c"/>
                  <v:fill on="false" color="#000000" opacity="0"/>
                </v:shape>
              </v:group>
            </w:pict>
          </mc:Fallback>
        </mc:AlternateContent>
      </w:r>
    </w:p>
    <w:p w14:paraId="069E6A59" w14:textId="77777777" w:rsidR="002C1C5B" w:rsidRDefault="00492D71">
      <w:pPr>
        <w:spacing w:after="236" w:line="259" w:lineRule="auto"/>
        <w:ind w:left="78" w:firstLine="0"/>
        <w:jc w:val="center"/>
      </w:pPr>
      <w:r>
        <w:rPr>
          <w:sz w:val="48"/>
        </w:rPr>
        <w:t xml:space="preserve"> </w:t>
      </w:r>
    </w:p>
    <w:p w14:paraId="06629720" w14:textId="77777777" w:rsidR="002C1C5B" w:rsidRDefault="00492D71">
      <w:pPr>
        <w:spacing w:after="236" w:line="259" w:lineRule="auto"/>
        <w:ind w:left="78" w:firstLine="0"/>
        <w:jc w:val="center"/>
      </w:pPr>
      <w:r>
        <w:rPr>
          <w:sz w:val="48"/>
        </w:rPr>
        <w:t xml:space="preserve"> </w:t>
      </w:r>
    </w:p>
    <w:p w14:paraId="0F4C6259" w14:textId="77777777" w:rsidR="002C1C5B" w:rsidRDefault="00492D71">
      <w:pPr>
        <w:spacing w:after="2" w:line="355" w:lineRule="auto"/>
        <w:ind w:left="4513" w:right="4434" w:firstLine="0"/>
        <w:jc w:val="center"/>
      </w:pPr>
      <w:r>
        <w:rPr>
          <w:sz w:val="48"/>
        </w:rPr>
        <w:t xml:space="preserve">  </w:t>
      </w:r>
    </w:p>
    <w:p w14:paraId="00659AE5" w14:textId="77777777" w:rsidR="002C1C5B" w:rsidRDefault="00492D71">
      <w:pPr>
        <w:spacing w:after="0" w:line="259" w:lineRule="auto"/>
        <w:ind w:left="78" w:firstLine="0"/>
        <w:jc w:val="center"/>
      </w:pPr>
      <w:r>
        <w:rPr>
          <w:sz w:val="48"/>
        </w:rPr>
        <w:t xml:space="preserve"> </w:t>
      </w:r>
    </w:p>
    <w:tbl>
      <w:tblPr>
        <w:tblStyle w:val="TableGrid"/>
        <w:tblW w:w="9018" w:type="dxa"/>
        <w:tblInd w:w="5" w:type="dxa"/>
        <w:tblCellMar>
          <w:top w:w="61" w:type="dxa"/>
          <w:left w:w="115" w:type="dxa"/>
          <w:bottom w:w="0" w:type="dxa"/>
          <w:right w:w="115" w:type="dxa"/>
        </w:tblCellMar>
        <w:tblLook w:val="04A0" w:firstRow="1" w:lastRow="0" w:firstColumn="1" w:lastColumn="0" w:noHBand="0" w:noVBand="1"/>
      </w:tblPr>
      <w:tblGrid>
        <w:gridCol w:w="3005"/>
        <w:gridCol w:w="3005"/>
        <w:gridCol w:w="3008"/>
      </w:tblGrid>
      <w:tr w:rsidR="002C1C5B" w14:paraId="0EFB1DF5" w14:textId="77777777">
        <w:trPr>
          <w:trHeight w:val="590"/>
        </w:trPr>
        <w:tc>
          <w:tcPr>
            <w:tcW w:w="3005" w:type="dxa"/>
            <w:tcBorders>
              <w:top w:val="single" w:sz="4" w:space="0" w:color="000000"/>
              <w:left w:val="single" w:sz="4" w:space="0" w:color="000000"/>
              <w:bottom w:val="single" w:sz="4" w:space="0" w:color="000000"/>
              <w:right w:val="single" w:sz="4" w:space="0" w:color="000000"/>
            </w:tcBorders>
          </w:tcPr>
          <w:p w14:paraId="54F3FD43" w14:textId="77777777" w:rsidR="002C1C5B" w:rsidRDefault="00492D71">
            <w:pPr>
              <w:spacing w:after="0" w:line="259" w:lineRule="auto"/>
              <w:ind w:left="0" w:firstLine="0"/>
              <w:jc w:val="center"/>
            </w:pPr>
            <w:r>
              <w:t xml:space="preserve">Date Policy Written and Agreed by Governors: </w:t>
            </w:r>
          </w:p>
        </w:tc>
        <w:tc>
          <w:tcPr>
            <w:tcW w:w="3005" w:type="dxa"/>
            <w:tcBorders>
              <w:top w:val="single" w:sz="4" w:space="0" w:color="000000"/>
              <w:left w:val="single" w:sz="4" w:space="0" w:color="000000"/>
              <w:bottom w:val="single" w:sz="4" w:space="0" w:color="000000"/>
              <w:right w:val="single" w:sz="4" w:space="0" w:color="000000"/>
            </w:tcBorders>
          </w:tcPr>
          <w:p w14:paraId="2F47C46A" w14:textId="77777777" w:rsidR="002C1C5B" w:rsidRDefault="00492D71">
            <w:pPr>
              <w:spacing w:after="0" w:line="259" w:lineRule="auto"/>
              <w:ind w:left="0" w:right="1" w:firstLine="0"/>
              <w:jc w:val="center"/>
            </w:pPr>
            <w:r>
              <w:t xml:space="preserve">Date of last review: </w:t>
            </w:r>
          </w:p>
        </w:tc>
        <w:tc>
          <w:tcPr>
            <w:tcW w:w="3008" w:type="dxa"/>
            <w:tcBorders>
              <w:top w:val="single" w:sz="4" w:space="0" w:color="000000"/>
              <w:left w:val="single" w:sz="4" w:space="0" w:color="000000"/>
              <w:bottom w:val="single" w:sz="4" w:space="0" w:color="000000"/>
              <w:right w:val="single" w:sz="4" w:space="0" w:color="000000"/>
            </w:tcBorders>
          </w:tcPr>
          <w:p w14:paraId="6F46ECE6" w14:textId="77777777" w:rsidR="002C1C5B" w:rsidRDefault="00492D71">
            <w:pPr>
              <w:spacing w:after="0" w:line="259" w:lineRule="auto"/>
              <w:ind w:left="2" w:firstLine="0"/>
              <w:jc w:val="center"/>
            </w:pPr>
            <w:r>
              <w:t xml:space="preserve">Date of next review: </w:t>
            </w:r>
          </w:p>
        </w:tc>
      </w:tr>
      <w:tr w:rsidR="002C1C5B" w14:paraId="6DA7CDB3" w14:textId="77777777">
        <w:trPr>
          <w:trHeight w:val="348"/>
        </w:trPr>
        <w:tc>
          <w:tcPr>
            <w:tcW w:w="3005" w:type="dxa"/>
            <w:tcBorders>
              <w:top w:val="single" w:sz="4" w:space="0" w:color="000000"/>
              <w:left w:val="single" w:sz="4" w:space="0" w:color="000000"/>
              <w:bottom w:val="single" w:sz="4" w:space="0" w:color="000000"/>
              <w:right w:val="single" w:sz="4" w:space="0" w:color="000000"/>
            </w:tcBorders>
          </w:tcPr>
          <w:p w14:paraId="52B8F0C8" w14:textId="77777777" w:rsidR="002C1C5B" w:rsidRDefault="00492D71">
            <w:pPr>
              <w:spacing w:after="0" w:line="259" w:lineRule="auto"/>
              <w:ind w:left="0" w:firstLine="0"/>
              <w:jc w:val="center"/>
            </w:pPr>
            <w:r>
              <w:rPr>
                <w:sz w:val="28"/>
              </w:rPr>
              <w:t xml:space="preserve">October 2019 </w:t>
            </w:r>
          </w:p>
        </w:tc>
        <w:tc>
          <w:tcPr>
            <w:tcW w:w="3005" w:type="dxa"/>
            <w:tcBorders>
              <w:top w:val="single" w:sz="4" w:space="0" w:color="000000"/>
              <w:left w:val="single" w:sz="4" w:space="0" w:color="000000"/>
              <w:bottom w:val="single" w:sz="4" w:space="0" w:color="000000"/>
              <w:right w:val="single" w:sz="4" w:space="0" w:color="000000"/>
            </w:tcBorders>
          </w:tcPr>
          <w:p w14:paraId="1BFA0C04" w14:textId="241D6A53" w:rsidR="002C1C5B" w:rsidRDefault="00492D71">
            <w:pPr>
              <w:spacing w:after="0" w:line="259" w:lineRule="auto"/>
              <w:ind w:left="2" w:firstLine="0"/>
              <w:jc w:val="center"/>
            </w:pPr>
            <w:r>
              <w:rPr>
                <w:sz w:val="28"/>
              </w:rPr>
              <w:t>October 2024</w:t>
            </w:r>
          </w:p>
        </w:tc>
        <w:tc>
          <w:tcPr>
            <w:tcW w:w="3008" w:type="dxa"/>
            <w:tcBorders>
              <w:top w:val="single" w:sz="4" w:space="0" w:color="000000"/>
              <w:left w:val="single" w:sz="4" w:space="0" w:color="000000"/>
              <w:bottom w:val="single" w:sz="4" w:space="0" w:color="000000"/>
              <w:right w:val="single" w:sz="4" w:space="0" w:color="000000"/>
            </w:tcBorders>
          </w:tcPr>
          <w:p w14:paraId="62ABA362" w14:textId="3E1595D9" w:rsidR="002C1C5B" w:rsidRDefault="00492D71">
            <w:pPr>
              <w:spacing w:after="0" w:line="259" w:lineRule="auto"/>
              <w:ind w:left="0" w:firstLine="0"/>
              <w:jc w:val="center"/>
            </w:pPr>
            <w:r>
              <w:rPr>
                <w:sz w:val="28"/>
              </w:rPr>
              <w:t>October 2025</w:t>
            </w:r>
          </w:p>
        </w:tc>
      </w:tr>
    </w:tbl>
    <w:p w14:paraId="598B49D5" w14:textId="77777777" w:rsidR="002C1C5B" w:rsidRDefault="00492D71">
      <w:pPr>
        <w:spacing w:after="0" w:line="259" w:lineRule="auto"/>
        <w:ind w:left="0" w:firstLine="0"/>
      </w:pPr>
      <w:r>
        <w:rPr>
          <w:sz w:val="48"/>
        </w:rPr>
        <w:t xml:space="preserve"> </w:t>
      </w:r>
      <w:r>
        <w:rPr>
          <w:sz w:val="48"/>
        </w:rPr>
        <w:tab/>
        <w:t xml:space="preserve"> </w:t>
      </w:r>
    </w:p>
    <w:p w14:paraId="30DCD0EF" w14:textId="77777777" w:rsidR="00492D71" w:rsidRDefault="00492D71">
      <w:pPr>
        <w:pStyle w:val="Heading1"/>
        <w:spacing w:after="0"/>
        <w:ind w:left="-5"/>
      </w:pPr>
    </w:p>
    <w:p w14:paraId="47331CC7" w14:textId="77777777" w:rsidR="00492D71" w:rsidRDefault="00492D71" w:rsidP="00492D71"/>
    <w:p w14:paraId="53CDDA35" w14:textId="77777777" w:rsidR="00492D71" w:rsidRPr="00492D71" w:rsidRDefault="00492D71" w:rsidP="00492D71"/>
    <w:p w14:paraId="437EB14A" w14:textId="77777777" w:rsidR="00492D71" w:rsidRDefault="00492D71">
      <w:pPr>
        <w:pStyle w:val="Heading1"/>
        <w:spacing w:after="0"/>
        <w:ind w:left="-5"/>
      </w:pPr>
    </w:p>
    <w:p w14:paraId="16FF8F9D" w14:textId="77777777" w:rsidR="00492D71" w:rsidRDefault="00492D71">
      <w:pPr>
        <w:pStyle w:val="Heading1"/>
        <w:spacing w:after="0"/>
        <w:ind w:left="-5"/>
      </w:pPr>
    </w:p>
    <w:p w14:paraId="46AF2EC6" w14:textId="77777777" w:rsidR="00492D71" w:rsidRDefault="00492D71">
      <w:pPr>
        <w:pStyle w:val="Heading1"/>
        <w:spacing w:after="0"/>
        <w:ind w:left="-5"/>
      </w:pPr>
    </w:p>
    <w:p w14:paraId="72B5E563" w14:textId="77777777" w:rsidR="00492D71" w:rsidRDefault="00492D71">
      <w:pPr>
        <w:pStyle w:val="Heading1"/>
        <w:spacing w:after="0"/>
        <w:ind w:left="-5"/>
      </w:pPr>
    </w:p>
    <w:p w14:paraId="645F4967" w14:textId="77777777" w:rsidR="00492D71" w:rsidRDefault="00492D71">
      <w:pPr>
        <w:pStyle w:val="Heading1"/>
        <w:spacing w:after="0"/>
        <w:ind w:left="-5"/>
      </w:pPr>
    </w:p>
    <w:p w14:paraId="4F9C4951" w14:textId="5876E5EB" w:rsidR="002C1C5B" w:rsidRDefault="00492D71">
      <w:pPr>
        <w:pStyle w:val="Heading1"/>
        <w:spacing w:after="0"/>
        <w:ind w:left="-5"/>
      </w:pPr>
      <w:r>
        <w:t xml:space="preserve">Admission Arrangements  </w:t>
      </w:r>
    </w:p>
    <w:p w14:paraId="39B59991" w14:textId="77777777" w:rsidR="002C1C5B" w:rsidRDefault="00492D71">
      <w:pPr>
        <w:spacing w:after="0" w:line="259" w:lineRule="auto"/>
        <w:ind w:left="0" w:firstLine="0"/>
      </w:pPr>
      <w:r>
        <w:t xml:space="preserve"> </w:t>
      </w:r>
    </w:p>
    <w:p w14:paraId="06D13429" w14:textId="77777777" w:rsidR="002C1C5B" w:rsidRDefault="00492D71">
      <w:pPr>
        <w:spacing w:after="0" w:line="239" w:lineRule="auto"/>
        <w:ind w:left="0" w:right="59" w:firstLine="0"/>
      </w:pPr>
      <w:r>
        <w:t xml:space="preserve">The school’s current admissions policy is operated by the Local Authority on behalf </w:t>
      </w:r>
      <w:r>
        <w:t xml:space="preserve">of the school.   All enquiries regarding admission should be directed to:  </w:t>
      </w:r>
    </w:p>
    <w:p w14:paraId="22CAAC43" w14:textId="77777777" w:rsidR="002C1C5B" w:rsidRDefault="00492D71">
      <w:pPr>
        <w:spacing w:after="0" w:line="259" w:lineRule="auto"/>
        <w:ind w:left="0" w:firstLine="0"/>
      </w:pPr>
      <w:r>
        <w:t xml:space="preserve"> </w:t>
      </w:r>
    </w:p>
    <w:p w14:paraId="543F55FD" w14:textId="77777777" w:rsidR="002C1C5B" w:rsidRDefault="00492D71">
      <w:pPr>
        <w:ind w:left="-5" w:right="68"/>
      </w:pPr>
      <w:r>
        <w:t xml:space="preserve">Telford and Wrekin School Admissions Department  </w:t>
      </w:r>
    </w:p>
    <w:p w14:paraId="1CD2A7F9" w14:textId="77777777" w:rsidR="002C1C5B" w:rsidRDefault="00492D71">
      <w:pPr>
        <w:spacing w:after="0" w:line="259" w:lineRule="auto"/>
        <w:ind w:left="0" w:firstLine="0"/>
      </w:pPr>
      <w:r>
        <w:t xml:space="preserve"> </w:t>
      </w:r>
    </w:p>
    <w:p w14:paraId="5882C5DC" w14:textId="77777777" w:rsidR="002C1C5B" w:rsidRDefault="00492D71">
      <w:pPr>
        <w:spacing w:after="0" w:line="248" w:lineRule="auto"/>
      </w:pPr>
      <w:hyperlink r:id="rId6">
        <w:r>
          <w:rPr>
            <w:color w:val="0000FF"/>
            <w:u w:val="single" w:color="0000FF"/>
          </w:rPr>
          <w:t xml:space="preserve">http://www.telford.gov.uk/info/20026/school_admissions/3247/applying_for_a_scho </w:t>
        </w:r>
      </w:hyperlink>
      <w:hyperlink r:id="rId7">
        <w:proofErr w:type="spellStart"/>
        <w:r>
          <w:rPr>
            <w:color w:val="0000FF"/>
            <w:u w:val="single" w:color="0000FF"/>
          </w:rPr>
          <w:t>ol_place</w:t>
        </w:r>
        <w:proofErr w:type="spellEnd"/>
      </w:hyperlink>
      <w:hyperlink r:id="rId8">
        <w:r>
          <w:t xml:space="preserve"> </w:t>
        </w:r>
      </w:hyperlink>
    </w:p>
    <w:p w14:paraId="2BED70ED" w14:textId="77777777" w:rsidR="002C1C5B" w:rsidRDefault="00492D71">
      <w:pPr>
        <w:spacing w:after="217" w:line="259" w:lineRule="auto"/>
        <w:ind w:left="0" w:firstLine="0"/>
      </w:pPr>
      <w:r>
        <w:t xml:space="preserve"> </w:t>
      </w:r>
    </w:p>
    <w:p w14:paraId="4F11EC12" w14:textId="77777777" w:rsidR="002C1C5B" w:rsidRDefault="00492D71">
      <w:pPr>
        <w:pStyle w:val="Heading1"/>
        <w:spacing w:after="220"/>
        <w:ind w:left="-5"/>
      </w:pPr>
      <w:r>
        <w:t xml:space="preserve">Legislation and statutory requirements </w:t>
      </w:r>
    </w:p>
    <w:p w14:paraId="7D9A3C50" w14:textId="77777777" w:rsidR="002C1C5B" w:rsidRDefault="00492D71">
      <w:pPr>
        <w:spacing w:after="161"/>
        <w:ind w:left="-5" w:right="68"/>
      </w:pPr>
      <w:r>
        <w:t xml:space="preserve">This policy is based on the following advice from the Department for Education (DfE): </w:t>
      </w:r>
    </w:p>
    <w:p w14:paraId="2108B7BC" w14:textId="77777777" w:rsidR="002C1C5B" w:rsidRDefault="00492D71">
      <w:pPr>
        <w:numPr>
          <w:ilvl w:val="0"/>
          <w:numId w:val="1"/>
        </w:numPr>
        <w:spacing w:after="0" w:line="248" w:lineRule="auto"/>
        <w:ind w:hanging="360"/>
      </w:pPr>
      <w:hyperlink r:id="rId9">
        <w:r>
          <w:rPr>
            <w:color w:val="0000FF"/>
            <w:u w:val="single" w:color="0000FF"/>
          </w:rPr>
          <w:t>School Admissions Code</w:t>
        </w:r>
      </w:hyperlink>
      <w:hyperlink r:id="rId10">
        <w:r>
          <w:rPr>
            <w:color w:val="0000FF"/>
          </w:rPr>
          <w:t xml:space="preserve"> </w:t>
        </w:r>
      </w:hyperlink>
    </w:p>
    <w:p w14:paraId="667D65B6" w14:textId="77777777" w:rsidR="002C1C5B" w:rsidRDefault="00492D71">
      <w:pPr>
        <w:numPr>
          <w:ilvl w:val="0"/>
          <w:numId w:val="1"/>
        </w:numPr>
        <w:spacing w:after="80" w:line="248" w:lineRule="auto"/>
        <w:ind w:hanging="360"/>
      </w:pPr>
      <w:hyperlink r:id="rId11">
        <w:r>
          <w:rPr>
            <w:color w:val="0000FF"/>
            <w:u w:val="single" w:color="0000FF"/>
          </w:rPr>
          <w:t>School Admission Appeals Code</w:t>
        </w:r>
      </w:hyperlink>
      <w:hyperlink r:id="rId12">
        <w:r>
          <w:t xml:space="preserve"> </w:t>
        </w:r>
      </w:hyperlink>
    </w:p>
    <w:p w14:paraId="73B3DCB8" w14:textId="77777777" w:rsidR="002C1C5B" w:rsidRDefault="00492D71">
      <w:pPr>
        <w:spacing w:after="488"/>
        <w:ind w:left="-5" w:right="68"/>
      </w:pPr>
      <w:r>
        <w:t xml:space="preserve">The school is required to comply with these codes, and with the law relating to admissions as set out in the </w:t>
      </w:r>
      <w:hyperlink r:id="rId13">
        <w:r>
          <w:rPr>
            <w:color w:val="0000FF"/>
            <w:u w:val="single" w:color="0000FF"/>
          </w:rPr>
          <w:t>School Standards and Framework Act 1998</w:t>
        </w:r>
      </w:hyperlink>
      <w:hyperlink r:id="rId14">
        <w:r>
          <w:t>.</w:t>
        </w:r>
      </w:hyperlink>
      <w:r>
        <w:t xml:space="preserve"> </w:t>
      </w:r>
    </w:p>
    <w:p w14:paraId="5627645F" w14:textId="77777777" w:rsidR="002C1C5B" w:rsidRDefault="00492D71">
      <w:pPr>
        <w:pStyle w:val="Heading1"/>
        <w:ind w:left="-5"/>
      </w:pPr>
      <w:r>
        <w:t xml:space="preserve">How to apply </w:t>
      </w:r>
    </w:p>
    <w:p w14:paraId="40426F25" w14:textId="77777777" w:rsidR="002C1C5B" w:rsidRDefault="00492D71">
      <w:pPr>
        <w:ind w:left="-5" w:right="68"/>
      </w:pPr>
      <w:r>
        <w:t xml:space="preserve">For applications in the normal admissions round you should use the application form provided by your home local authority (regardless of which local authority the schools are in). You can use this form to express your preference for a minimum of 3 state-funded schools, in rank order.  </w:t>
      </w:r>
    </w:p>
    <w:p w14:paraId="4FAEC817" w14:textId="77777777" w:rsidR="002C1C5B" w:rsidRDefault="00492D71">
      <w:pPr>
        <w:spacing w:after="207"/>
        <w:ind w:left="-5" w:right="259"/>
      </w:pPr>
      <w:r>
        <w:t xml:space="preserve">You will receive an offer for a school place directly from your local authority. Please note, pupils attending Newport Infant School will not transfer automatically into Newport CE Junior School. A separate application must be made for a place. </w:t>
      </w:r>
    </w:p>
    <w:p w14:paraId="7F3EF889" w14:textId="77777777" w:rsidR="002C1C5B" w:rsidRDefault="00492D71">
      <w:pPr>
        <w:spacing w:after="18" w:line="259" w:lineRule="auto"/>
        <w:ind w:left="0" w:firstLine="0"/>
      </w:pPr>
      <w:r>
        <w:rPr>
          <w:b/>
        </w:rPr>
        <w:t xml:space="preserve"> </w:t>
      </w:r>
    </w:p>
    <w:p w14:paraId="2DD1AC56" w14:textId="77777777" w:rsidR="002C1C5B" w:rsidRDefault="00492D71">
      <w:pPr>
        <w:spacing w:after="18" w:line="259" w:lineRule="auto"/>
        <w:ind w:left="-5"/>
      </w:pPr>
      <w:r>
        <w:rPr>
          <w:b/>
        </w:rPr>
        <w:t xml:space="preserve">Admission number </w:t>
      </w:r>
    </w:p>
    <w:p w14:paraId="5FCD2FCA" w14:textId="77777777" w:rsidR="002C1C5B" w:rsidRDefault="00492D71">
      <w:pPr>
        <w:spacing w:after="471"/>
        <w:ind w:left="-5" w:right="68"/>
      </w:pPr>
      <w:r>
        <w:t xml:space="preserve">The school has an agreed admission number of </w:t>
      </w:r>
      <w:r>
        <w:rPr>
          <w:color w:val="F15F22"/>
        </w:rPr>
        <w:t>90</w:t>
      </w:r>
      <w:r>
        <w:rPr>
          <w:color w:val="C0504D"/>
          <w:sz w:val="25"/>
        </w:rPr>
        <w:t xml:space="preserve"> </w:t>
      </w:r>
      <w:r>
        <w:t>pupils per year group.</w:t>
      </w:r>
      <w:r>
        <w:rPr>
          <w:color w:val="F15F22"/>
        </w:rPr>
        <w:t xml:space="preserve"> </w:t>
      </w:r>
    </w:p>
    <w:p w14:paraId="5DAF3C56" w14:textId="77777777" w:rsidR="002C1C5B" w:rsidRDefault="00492D71">
      <w:pPr>
        <w:pStyle w:val="Heading1"/>
        <w:ind w:left="-5"/>
      </w:pPr>
      <w:r>
        <w:t xml:space="preserve">In-year admissions </w:t>
      </w:r>
    </w:p>
    <w:p w14:paraId="26AA94EC" w14:textId="77777777" w:rsidR="002C1C5B" w:rsidRDefault="00492D71">
      <w:pPr>
        <w:ind w:left="-5" w:right="68"/>
      </w:pPr>
      <w:r>
        <w:t xml:space="preserve">You can apply for a place for your child at any time outside the normal admissions round.  </w:t>
      </w:r>
    </w:p>
    <w:p w14:paraId="791FE7DD" w14:textId="77777777" w:rsidR="002C1C5B" w:rsidRDefault="00492D71">
      <w:pPr>
        <w:spacing w:after="0" w:line="239" w:lineRule="auto"/>
        <w:ind w:left="0" w:firstLine="0"/>
      </w:pPr>
      <w:r>
        <w:lastRenderedPageBreak/>
        <w:t xml:space="preserve">Applications for in-year admissions should be completed through: </w:t>
      </w:r>
      <w:hyperlink r:id="rId15">
        <w:r>
          <w:rPr>
            <w:color w:val="800080"/>
            <w:u w:val="single" w:color="800080"/>
          </w:rPr>
          <w:t xml:space="preserve">http://www.telford.gov.uk/info/20026/school_admissions/3247/applying_for_a_scho </w:t>
        </w:r>
      </w:hyperlink>
      <w:hyperlink r:id="rId16">
        <w:proofErr w:type="spellStart"/>
        <w:r>
          <w:rPr>
            <w:color w:val="800080"/>
            <w:u w:val="single" w:color="800080"/>
          </w:rPr>
          <w:t>ol_place</w:t>
        </w:r>
        <w:proofErr w:type="spellEnd"/>
      </w:hyperlink>
      <w:hyperlink r:id="rId17">
        <w:r>
          <w:t xml:space="preserve"> </w:t>
        </w:r>
      </w:hyperlink>
    </w:p>
    <w:sectPr w:rsidR="002C1C5B">
      <w:pgSz w:w="11906" w:h="16838"/>
      <w:pgMar w:top="1496" w:right="1369" w:bottom="195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074FF"/>
    <w:multiLevelType w:val="hybridMultilevel"/>
    <w:tmpl w:val="71BCAEA0"/>
    <w:lvl w:ilvl="0" w:tplc="C7E8A050">
      <w:start w:val="1"/>
      <w:numFmt w:val="bullet"/>
      <w:lvlText w:val="•"/>
      <w:lvlJc w:val="left"/>
      <w:pPr>
        <w:ind w:left="70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B8A4127E">
      <w:start w:val="1"/>
      <w:numFmt w:val="bullet"/>
      <w:lvlText w:val="o"/>
      <w:lvlJc w:val="left"/>
      <w:pPr>
        <w:ind w:left="144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2" w:tplc="DB2A92E6">
      <w:start w:val="1"/>
      <w:numFmt w:val="bullet"/>
      <w:lvlText w:val="▪"/>
      <w:lvlJc w:val="left"/>
      <w:pPr>
        <w:ind w:left="216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3" w:tplc="1D824714">
      <w:start w:val="1"/>
      <w:numFmt w:val="bullet"/>
      <w:lvlText w:val="•"/>
      <w:lvlJc w:val="left"/>
      <w:pPr>
        <w:ind w:left="28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28A6C552">
      <w:start w:val="1"/>
      <w:numFmt w:val="bullet"/>
      <w:lvlText w:val="o"/>
      <w:lvlJc w:val="left"/>
      <w:pPr>
        <w:ind w:left="360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5" w:tplc="71368BB0">
      <w:start w:val="1"/>
      <w:numFmt w:val="bullet"/>
      <w:lvlText w:val="▪"/>
      <w:lvlJc w:val="left"/>
      <w:pPr>
        <w:ind w:left="432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6" w:tplc="723E3F34">
      <w:start w:val="1"/>
      <w:numFmt w:val="bullet"/>
      <w:lvlText w:val="•"/>
      <w:lvlJc w:val="left"/>
      <w:pPr>
        <w:ind w:left="50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242282A4">
      <w:start w:val="1"/>
      <w:numFmt w:val="bullet"/>
      <w:lvlText w:val="o"/>
      <w:lvlJc w:val="left"/>
      <w:pPr>
        <w:ind w:left="576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8" w:tplc="743C8652">
      <w:start w:val="1"/>
      <w:numFmt w:val="bullet"/>
      <w:lvlText w:val="▪"/>
      <w:lvlJc w:val="left"/>
      <w:pPr>
        <w:ind w:left="648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abstractNum>
  <w:num w:numId="1" w16cid:durableId="158402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C5B"/>
    <w:rsid w:val="002C1C5B"/>
    <w:rsid w:val="002E3978"/>
    <w:rsid w:val="00492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793B"/>
  <w15:docId w15:val="{BD78108B-484F-47A9-A06D-8599073D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7" w:lineRule="auto"/>
      <w:ind w:left="10" w:hanging="10"/>
    </w:pPr>
    <w:rPr>
      <w:rFonts w:ascii="Tahoma" w:eastAsia="Tahoma" w:hAnsi="Tahoma" w:cs="Tahoma"/>
      <w:color w:val="000000"/>
    </w:rPr>
  </w:style>
  <w:style w:type="paragraph" w:styleId="Heading1">
    <w:name w:val="heading 1"/>
    <w:next w:val="Normal"/>
    <w:link w:val="Heading1Char"/>
    <w:uiPriority w:val="9"/>
    <w:qFormat/>
    <w:pPr>
      <w:keepNext/>
      <w:keepLines/>
      <w:spacing w:after="95" w:line="259" w:lineRule="auto"/>
      <w:ind w:left="10" w:hanging="10"/>
      <w:outlineLvl w:val="0"/>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telford.gov.uk/info/20026/school_admissions/3247/applying_for_a_school_place" TargetMode="External"/><Relationship Id="rId13" Type="http://schemas.openxmlformats.org/officeDocument/2006/relationships/hyperlink" Target="http://www.legislation.gov.uk/ukpga/1998/31/conte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ford.gov.uk/info/20026/school_admissions/3247/applying_for_a_school_place" TargetMode="External"/><Relationship Id="rId12" Type="http://schemas.openxmlformats.org/officeDocument/2006/relationships/hyperlink" Target="https://www.gov.uk/government/publications/school-admissions-appeals-code" TargetMode="External"/><Relationship Id="rId17" Type="http://schemas.openxmlformats.org/officeDocument/2006/relationships/hyperlink" Target="http://www.telford.gov.uk/info/20026/school_admissions/3247/applying_for_a_school_place" TargetMode="External"/><Relationship Id="rId2" Type="http://schemas.openxmlformats.org/officeDocument/2006/relationships/styles" Target="styles.xml"/><Relationship Id="rId16" Type="http://schemas.openxmlformats.org/officeDocument/2006/relationships/hyperlink" Target="http://www.telford.gov.uk/info/20026/school_admissions/3247/applying_for_a_school_place" TargetMode="External"/><Relationship Id="rId1" Type="http://schemas.openxmlformats.org/officeDocument/2006/relationships/numbering" Target="numbering.xml"/><Relationship Id="rId6" Type="http://schemas.openxmlformats.org/officeDocument/2006/relationships/hyperlink" Target="http://www.telford.gov.uk/info/20026/school_admissions/3247/applying_for_a_school_place" TargetMode="External"/><Relationship Id="rId11" Type="http://schemas.openxmlformats.org/officeDocument/2006/relationships/hyperlink" Target="https://www.gov.uk/government/publications/school-admissions-appeals-code" TargetMode="External"/><Relationship Id="rId5" Type="http://schemas.openxmlformats.org/officeDocument/2006/relationships/image" Target="media/image1.jpg"/><Relationship Id="rId15" Type="http://schemas.openxmlformats.org/officeDocument/2006/relationships/hyperlink" Target="http://www.telford.gov.uk/info/20026/school_admissions/3247/applying_for_a_school_place" TargetMode="External"/><Relationship Id="rId10" Type="http://schemas.openxmlformats.org/officeDocument/2006/relationships/hyperlink" Target="https://www.gov.uk/government/publications/school-admissions-code--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school-admissions-code--2" TargetMode="External"/><Relationship Id="rId14" Type="http://schemas.openxmlformats.org/officeDocument/2006/relationships/hyperlink" Target="http://www.legislation.gov.uk/ukpga/1998/31/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2490</Characters>
  <Application>Microsoft Office Word</Application>
  <DocSecurity>0</DocSecurity>
  <Lines>20</Lines>
  <Paragraphs>5</Paragraphs>
  <ScaleCrop>false</ScaleCrop>
  <Company>Telford and Wrekin IDT</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Nicola</dc:creator>
  <cp:keywords/>
  <cp:lastModifiedBy>Moody, Nicola</cp:lastModifiedBy>
  <cp:revision>2</cp:revision>
  <dcterms:created xsi:type="dcterms:W3CDTF">2025-01-28T22:19:00Z</dcterms:created>
  <dcterms:modified xsi:type="dcterms:W3CDTF">2025-01-28T22:19:00Z</dcterms:modified>
</cp:coreProperties>
</file>